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6303">
        <w:rPr>
          <w:rFonts w:ascii="Times New Roman" w:hAnsi="Times New Roman" w:cs="Times New Roman"/>
          <w:sz w:val="24"/>
          <w:szCs w:val="24"/>
        </w:rPr>
        <w:t>«___» _________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«Спецзеленстрой</w:t>
      </w:r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r w:rsidRPr="00976303">
        <w:rPr>
          <w:rFonts w:ascii="Times New Roman" w:hAnsi="Times New Roman" w:cs="Times New Roman"/>
          <w:b/>
          <w:sz w:val="24"/>
          <w:szCs w:val="24"/>
        </w:rPr>
        <w:t>Штепа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1B47F0">
        <w:rPr>
          <w:rFonts w:ascii="Times New Roman" w:hAnsi="Times New Roman" w:cs="Times New Roman"/>
          <w:sz w:val="24"/>
          <w:szCs w:val="24"/>
        </w:rPr>
        <w:t>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>ценой и объемами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 на основании выставленных счетов, согласно поданным заявкам, по безналичному расчёту путем перечисления денежных средств в рублях ПМР на расчётный счёт Продавца</w:t>
      </w:r>
    </w:p>
    <w:p w:rsidR="00976303" w:rsidRP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5. ПРАВА И ОБЯЗАННОСТИ СТОРОН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6.1. Качество Товара должно соответствовать требованиям ГОСТ, ТУ, технических регламентов и подтверждаться документами, определяющими качество Товара.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>. Расходы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976303">
        <w:rPr>
          <w:rFonts w:ascii="Times New Roman" w:hAnsi="Times New Roman" w:cs="Times New Roman"/>
          <w:sz w:val="24"/>
          <w:szCs w:val="24"/>
        </w:rPr>
        <w:t>2021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r w:rsidRPr="00976303">
              <w:t>Спецзеленстрой»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303" w:rsidRPr="00976303" w:rsidRDefault="00B14646" w:rsidP="00B14646">
            <w:pPr>
              <w:pStyle w:val="a5"/>
              <w:ind w:right="-285"/>
              <w:rPr>
                <w:b/>
              </w:rPr>
            </w:pPr>
            <w:r>
              <w:rPr>
                <w:rStyle w:val="t3"/>
                <w:bCs/>
                <w:color w:val="000000"/>
              </w:rPr>
              <w:t xml:space="preserve"> </w:t>
            </w:r>
          </w:p>
        </w:tc>
      </w:tr>
    </w:tbl>
    <w:p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:rsidTr="0039666E">
        <w:tc>
          <w:tcPr>
            <w:tcW w:w="768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335" w:type="dxa"/>
            <w:vAlign w:val="center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768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:rsidTr="0039666E">
        <w:tc>
          <w:tcPr>
            <w:tcW w:w="768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33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:rsidTr="0039666E">
        <w:tc>
          <w:tcPr>
            <w:tcW w:w="8621" w:type="dxa"/>
            <w:gridSpan w:val="4"/>
          </w:tcPr>
          <w:p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gridSpan w:val="2"/>
          </w:tcPr>
          <w:p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:rsidTr="0039666E">
        <w:tc>
          <w:tcPr>
            <w:tcW w:w="4786" w:type="dxa"/>
          </w:tcPr>
          <w:p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r w:rsidRPr="00976303">
              <w:t>Спецзеленстрой»</w:t>
            </w:r>
          </w:p>
          <w:p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Н.Н. Штепа</w:t>
            </w:r>
          </w:p>
          <w:p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  <w:bookmarkStart w:id="0" w:name="_GoBack"/>
            <w:bookmarkEnd w:id="0"/>
          </w:p>
        </w:tc>
      </w:tr>
    </w:tbl>
    <w:p w:rsidR="00976303" w:rsidRPr="00DA1B67" w:rsidRDefault="00976303" w:rsidP="00976303">
      <w:pPr>
        <w:ind w:right="228" w:firstLine="567"/>
        <w:rPr>
          <w:sz w:val="26"/>
          <w:szCs w:val="26"/>
        </w:rPr>
      </w:pPr>
    </w:p>
    <w:p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889813"/>
      <w:docPartObj>
        <w:docPartGallery w:val="Page Numbers (Bottom of Page)"/>
        <w:docPartUnique/>
      </w:docPartObj>
    </w:sdtPr>
    <w:sdtEndPr/>
    <w:sdtContent>
      <w:p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2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3"/>
    <w:rsid w:val="00084824"/>
    <w:rsid w:val="00094867"/>
    <w:rsid w:val="00190A41"/>
    <w:rsid w:val="001B47F0"/>
    <w:rsid w:val="005949E6"/>
    <w:rsid w:val="0067174A"/>
    <w:rsid w:val="007005E2"/>
    <w:rsid w:val="00976303"/>
    <w:rsid w:val="00996920"/>
    <w:rsid w:val="009B5481"/>
    <w:rsid w:val="009C015E"/>
    <w:rsid w:val="00A31486"/>
    <w:rsid w:val="00A6453B"/>
    <w:rsid w:val="00A668B9"/>
    <w:rsid w:val="00A93D40"/>
    <w:rsid w:val="00AB5664"/>
    <w:rsid w:val="00B14646"/>
    <w:rsid w:val="00B637DC"/>
    <w:rsid w:val="00BE5272"/>
    <w:rsid w:val="00D027DA"/>
    <w:rsid w:val="00D7211D"/>
    <w:rsid w:val="00E17EEF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2021-04-28T05:49:00Z</dcterms:created>
  <dcterms:modified xsi:type="dcterms:W3CDTF">2021-07-09T06:54:00Z</dcterms:modified>
</cp:coreProperties>
</file>